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77C2E" w14:textId="10F5E8EE" w:rsidR="00563641" w:rsidRPr="006C779E" w:rsidRDefault="00563641" w:rsidP="0056364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C779E">
        <w:rPr>
          <w:rFonts w:ascii="Times New Roman" w:hAnsi="Times New Roman" w:cs="Times New Roman"/>
          <w:sz w:val="32"/>
          <w:szCs w:val="32"/>
          <w:lang w:val="kk-KZ"/>
        </w:rPr>
        <w:t xml:space="preserve">11 Дәріс – </w:t>
      </w:r>
      <w:r w:rsidR="006C779E" w:rsidRPr="006C779E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>Тұрақты дамудағы</w:t>
      </w:r>
      <w:r w:rsidR="006C779E" w:rsidRPr="006C779E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 xml:space="preserve"> </w:t>
      </w:r>
      <w:r w:rsidR="006C779E" w:rsidRPr="006C779E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жауапты тұтыну және өндіріс дамуы</w:t>
      </w:r>
    </w:p>
    <w:p w14:paraId="77E3EB71" w14:textId="77777777" w:rsidR="00563641" w:rsidRPr="006C779E" w:rsidRDefault="00563641" w:rsidP="0056364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C779E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7DCC3C44" w14:textId="279A784E" w:rsidR="00563641" w:rsidRPr="006C779E" w:rsidRDefault="00563641" w:rsidP="0056364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C779E">
        <w:rPr>
          <w:rFonts w:ascii="Times New Roman" w:hAnsi="Times New Roman" w:cs="Times New Roman"/>
          <w:sz w:val="32"/>
          <w:szCs w:val="32"/>
          <w:lang w:val="kk-KZ"/>
        </w:rPr>
        <w:t>1.</w:t>
      </w:r>
      <w:r w:rsidRPr="006C779E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="006C779E" w:rsidRPr="006C779E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>Тұрақты дамудағы</w:t>
      </w:r>
      <w:r w:rsidR="006C779E" w:rsidRPr="006C779E"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  <w:t xml:space="preserve"> </w:t>
      </w:r>
      <w:r w:rsidR="006C779E" w:rsidRPr="006C779E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жауапты тұтыну және өндіріс дамуы</w:t>
      </w:r>
    </w:p>
    <w:p w14:paraId="1F310467" w14:textId="1FA31A55" w:rsidR="00563641" w:rsidRPr="006C779E" w:rsidRDefault="00563641" w:rsidP="00563641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6C779E">
        <w:rPr>
          <w:rFonts w:ascii="Times New Roman" w:hAnsi="Times New Roman" w:cs="Times New Roman"/>
          <w:sz w:val="32"/>
          <w:szCs w:val="32"/>
          <w:lang w:val="kk-KZ"/>
        </w:rPr>
        <w:t>2.</w:t>
      </w:r>
      <w:r w:rsidRPr="006C779E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="006C779E" w:rsidRPr="006C779E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Инновацияның тұтыну және өндірісті дамытуға әсері</w:t>
      </w:r>
    </w:p>
    <w:p w14:paraId="4A9EA3F7" w14:textId="4BC1E9A6" w:rsidR="00563641" w:rsidRPr="006C779E" w:rsidRDefault="00563641" w:rsidP="0056364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C779E">
        <w:rPr>
          <w:rFonts w:ascii="Times New Roman" w:hAnsi="Times New Roman" w:cs="Times New Roman"/>
          <w:color w:val="0070C0"/>
          <w:sz w:val="24"/>
          <w:szCs w:val="24"/>
          <w:lang w:val="kk-KZ"/>
        </w:rPr>
        <w:t>Дәрістің мақсаты</w:t>
      </w:r>
      <w:r w:rsidRPr="006C779E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6C77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магистранттарға </w:t>
      </w:r>
      <w:r w:rsidR="006C779E" w:rsidRPr="006C779E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Тұрақты дамудағы</w:t>
      </w:r>
      <w:r w:rsidR="006C779E" w:rsidRPr="006C779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6C779E" w:rsidRPr="006C779E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жауапты тұтыну және өндіріс дамуы</w:t>
      </w:r>
      <w:r w:rsidR="006C779E" w:rsidRPr="006C779E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6C779E">
        <w:rPr>
          <w:rFonts w:ascii="Times New Roman" w:hAnsi="Times New Roman" w:cs="Times New Roman"/>
          <w:bCs/>
          <w:sz w:val="24"/>
          <w:szCs w:val="24"/>
          <w:lang w:val="kk-KZ"/>
        </w:rPr>
        <w:t>жүйелі жан-жақты түсіндіру</w:t>
      </w:r>
    </w:p>
    <w:p w14:paraId="5635A782" w14:textId="77777777" w:rsidR="00A02E7F" w:rsidRPr="00A02E7F" w:rsidRDefault="00A02E7F" w:rsidP="00A02E7F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A02E7F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12: Оңтайлы тұтыну мен өндіру үлгілеріне өтуді қамтамасыз ету</w:t>
      </w:r>
    </w:p>
    <w:p w14:paraId="6367FC51" w14:textId="77777777" w:rsidR="00A02E7F" w:rsidRPr="00A02E7F" w:rsidRDefault="00A02E7F" w:rsidP="00A02E7F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A02E7F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A02E7F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2747A451" w14:textId="77777777" w:rsidR="00A02E7F" w:rsidRPr="00A02E7F" w:rsidRDefault="00A02E7F" w:rsidP="00A02E7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қатысуымен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Тұтыну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өндірудің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үлгілерін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көшу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іс-қимылдардың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Он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жылдық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стратегияны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жүзеге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асыру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алдымен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әлеуетін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ескере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оған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дамыған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алғашқы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болып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кірісуі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27778B1" w14:textId="77777777" w:rsidR="00A02E7F" w:rsidRPr="00A02E7F" w:rsidRDefault="00A02E7F" w:rsidP="00A02E7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табиғи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ресурстарды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игеру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жеткізу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C5DD9CB" w14:textId="77777777" w:rsidR="00A02E7F" w:rsidRPr="00A02E7F" w:rsidRDefault="00A02E7F" w:rsidP="00A02E7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жеке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тұтынушылық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деңгейлердегі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тағам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қалдықтарының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бүкіләлемдік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мөлшерін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халықтың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басына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қайта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есептегенде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екі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есеге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өндіру-өткізу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тізбектеріндегі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азық-түлік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шығындарын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түсімді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жинаудан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кейінгі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шығындарды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азайту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7792320" w14:textId="77777777" w:rsidR="00A02E7F" w:rsidRPr="00A02E7F" w:rsidRDefault="00A02E7F" w:rsidP="00A02E7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2020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келісілген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қағидаттарға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химиялық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заттар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қалдықтарды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тіршілік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кезеңінің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барысында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жеткізу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адамдардың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денсаулығы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қоршаған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жағымсыз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әсерін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мейлінше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ауаға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топыраққа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түсуін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барынша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D45866C" w14:textId="77777777" w:rsidR="00A02E7F" w:rsidRPr="00A02E7F" w:rsidRDefault="00A02E7F" w:rsidP="00A02E7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2030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жылға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қарай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қалдықтардың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болуының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алдын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қайта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өңдеу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қайта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шаралар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қалдықтар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көлемін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едәуір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F42CA8D" w14:textId="77777777" w:rsidR="00A02E7F" w:rsidRPr="00A02E7F" w:rsidRDefault="00A02E7F" w:rsidP="00A02E7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Компанияларға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әсіресе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ірі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трансұлттық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компанияларға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өндірістің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орнықты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әдістерін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қолдануды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өз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есептерінде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ресурстарды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туралы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ақпаратты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көрсетуді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ұсыну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70618406" w14:textId="77777777" w:rsidR="00A02E7F" w:rsidRPr="00A02E7F" w:rsidRDefault="00A02E7F" w:rsidP="00A02E7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стратегиялар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басымдылықтарға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мемлекеттік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сатып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алулардың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тұрақты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тәжірибесін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етуге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812BD4F" w14:textId="77777777" w:rsidR="00A02E7F" w:rsidRPr="00A02E7F" w:rsidRDefault="00A02E7F" w:rsidP="00A02E7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Жұмыс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орындарының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құрылуына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жергілікті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мәдениеттің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дамуына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жергілікті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өнімдердің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өндірісіне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ықпал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ететін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орнықты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туризммен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тұрақты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әсерді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мониторингілеу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құралдарын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әзірлеу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енгізу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1F56587" w14:textId="77777777" w:rsidR="00A02E7F" w:rsidRPr="00A02E7F" w:rsidRDefault="00A02E7F" w:rsidP="00A02E7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талаптарды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ескере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нарықтық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теңсіздіктерді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ішінде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салуды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қайта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ұйымдастыру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зиянды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субсидиялар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қолданылатын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жерден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экологиялық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салдарын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есепке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олардан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біртіндеп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бас тарту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арқылы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халықтың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мұқтаж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осал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топтарының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мүдделерін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қорғайтындай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дамушы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елдердің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айрықша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қажеттіліктері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жағдайларын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толығымен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назарға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ала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дамуы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ықтимал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жағымсыз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нәтижелерді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мейлінше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қысқарта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қазба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отынды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пайдаланудың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тиімсіз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ерекшеленетін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lastRenderedPageBreak/>
        <w:t>субсидиялануымен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қазбалы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отынды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ысырапсыз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тұтынылуына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алып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келетін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отынды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субсидиясын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оңтайландыру</w:t>
      </w:r>
      <w:proofErr w:type="spellEnd"/>
      <w:r w:rsidRPr="00A02E7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2702ED10" w14:textId="77777777" w:rsidR="001632AF" w:rsidRPr="00A02E7F" w:rsidRDefault="001632AF"/>
    <w:p w14:paraId="6D5D9A50" w14:textId="77777777" w:rsidR="0024138F" w:rsidRDefault="0024138F">
      <w:pPr>
        <w:rPr>
          <w:lang w:val="kk-KZ"/>
        </w:rPr>
      </w:pPr>
    </w:p>
    <w:p w14:paraId="07985913" w14:textId="77777777" w:rsidR="0024138F" w:rsidRDefault="0024138F">
      <w:pPr>
        <w:rPr>
          <w:lang w:val="kk-KZ"/>
        </w:rPr>
      </w:pPr>
    </w:p>
    <w:p w14:paraId="780A076D" w14:textId="7DF278AF" w:rsidR="00A02E7F" w:rsidRDefault="00A02E7F">
      <w:pPr>
        <w:rPr>
          <w:lang w:val="kk-KZ"/>
        </w:rPr>
      </w:pPr>
      <w:r>
        <w:rPr>
          <w:noProof/>
        </w:rPr>
        <w:drawing>
          <wp:inline distT="0" distB="0" distL="0" distR="0" wp14:anchorId="5A0CBAC6" wp14:editId="25ADB829">
            <wp:extent cx="5940425" cy="4455319"/>
            <wp:effectExtent l="0" t="0" r="3175" b="2540"/>
            <wp:docPr id="18" name="Рисунок 17" descr="Изображение выглядит как Человеческое лицо, человек, улыбка, растени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 descr="Изображение выглядит как Человеческое лицо, человек, улыбка, растение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8CA09" w14:textId="77777777" w:rsidR="00A02E7F" w:rsidRDefault="00A02E7F">
      <w:pPr>
        <w:rPr>
          <w:lang w:val="kk-KZ"/>
        </w:rPr>
      </w:pPr>
    </w:p>
    <w:p w14:paraId="48B11F9D" w14:textId="77777777" w:rsidR="00A02E7F" w:rsidRDefault="00A02E7F">
      <w:pPr>
        <w:rPr>
          <w:lang w:val="kk-KZ"/>
        </w:rPr>
      </w:pPr>
    </w:p>
    <w:p w14:paraId="56E42B2C" w14:textId="77777777" w:rsidR="00A02E7F" w:rsidRDefault="00A02E7F">
      <w:pPr>
        <w:rPr>
          <w:lang w:val="kk-KZ"/>
        </w:rPr>
      </w:pPr>
    </w:p>
    <w:p w14:paraId="198D764C" w14:textId="77777777" w:rsidR="00A02E7F" w:rsidRDefault="00A02E7F">
      <w:pPr>
        <w:rPr>
          <w:lang w:val="kk-KZ"/>
        </w:rPr>
      </w:pPr>
    </w:p>
    <w:p w14:paraId="6A95C328" w14:textId="77777777" w:rsidR="0024138F" w:rsidRPr="0080216D" w:rsidRDefault="0024138F" w:rsidP="0024138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0E6CCCD2" w14:textId="77777777" w:rsidR="0024138F" w:rsidRPr="0080216D" w:rsidRDefault="0024138F" w:rsidP="0024138F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7EFA4E5B" w14:textId="77777777" w:rsidR="0024138F" w:rsidRPr="0080216D" w:rsidRDefault="0024138F" w:rsidP="0024138F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39CF07E" w14:textId="77777777" w:rsidR="0024138F" w:rsidRPr="0080216D" w:rsidRDefault="0024138F" w:rsidP="0024138F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16C3004C" w14:textId="77777777" w:rsidR="0024138F" w:rsidRPr="0080216D" w:rsidRDefault="0024138F" w:rsidP="0024138F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51EF1403" w14:textId="77777777" w:rsidR="0024138F" w:rsidRPr="0080216D" w:rsidRDefault="0024138F" w:rsidP="0024138F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5BDF9DF7" w14:textId="77777777" w:rsidR="0024138F" w:rsidRPr="0080216D" w:rsidRDefault="0024138F" w:rsidP="0024138F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2CBBF5A2" w14:textId="77777777" w:rsidR="0024138F" w:rsidRPr="0080216D" w:rsidRDefault="0024138F" w:rsidP="0024138F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41CB06B7" w14:textId="77777777" w:rsidR="0024138F" w:rsidRPr="0080216D" w:rsidRDefault="0024138F" w:rsidP="0024138F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24CD8388" w14:textId="77777777" w:rsidR="0024138F" w:rsidRPr="0080216D" w:rsidRDefault="0024138F" w:rsidP="0024138F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7B3BC534" w14:textId="77777777" w:rsidR="0024138F" w:rsidRPr="0080216D" w:rsidRDefault="0024138F" w:rsidP="0024138F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Константиниди Х.А., Валитова Л.А., Пахалов А.М. и др. Управление устойчивым развитием-М.: Центркаталог, 2025-266 с.</w:t>
      </w:r>
    </w:p>
    <w:p w14:paraId="3F096310" w14:textId="77777777" w:rsidR="0024138F" w:rsidRPr="0080216D" w:rsidRDefault="0024138F" w:rsidP="0024138F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662A2A5C" w14:textId="77777777" w:rsidR="0024138F" w:rsidRPr="0080216D" w:rsidRDefault="0024138F" w:rsidP="0024138F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7AA80B8C" w14:textId="77777777" w:rsidR="0024138F" w:rsidRPr="0080216D" w:rsidRDefault="0024138F" w:rsidP="0024138F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1BCFEAEE" w14:textId="77777777" w:rsidR="0024138F" w:rsidRPr="0080216D" w:rsidRDefault="0024138F" w:rsidP="0024138F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127463B0" w14:textId="77777777" w:rsidR="0024138F" w:rsidRPr="0080216D" w:rsidRDefault="0024138F" w:rsidP="0024138F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16210565" w14:textId="77777777" w:rsidR="0024138F" w:rsidRPr="0080216D" w:rsidRDefault="0024138F" w:rsidP="0024138F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0BD8BED9" w14:textId="77777777" w:rsidR="0024138F" w:rsidRPr="0080216D" w:rsidRDefault="0024138F" w:rsidP="0024138F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151E456E" w14:textId="77777777" w:rsidR="0024138F" w:rsidRPr="0080216D" w:rsidRDefault="0024138F" w:rsidP="0024138F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455A4216" w14:textId="77777777" w:rsidR="0024138F" w:rsidRPr="0080216D" w:rsidRDefault="0024138F" w:rsidP="0024138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32A61784" w14:textId="77777777" w:rsidR="0024138F" w:rsidRPr="0080216D" w:rsidRDefault="0024138F" w:rsidP="0024138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28E0EE68" w14:textId="77777777" w:rsidR="0024138F" w:rsidRPr="0080216D" w:rsidRDefault="0024138F" w:rsidP="0024138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826E23F" w14:textId="77777777" w:rsidR="0024138F" w:rsidRPr="0080216D" w:rsidRDefault="0024138F" w:rsidP="0024138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66C27C40" w14:textId="77777777" w:rsidR="0024138F" w:rsidRPr="0080216D" w:rsidRDefault="0024138F" w:rsidP="0024138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E259CA2" w14:textId="77777777" w:rsidR="0024138F" w:rsidRPr="0080216D" w:rsidRDefault="0024138F" w:rsidP="0024138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13F6D696" w14:textId="77777777" w:rsidR="0024138F" w:rsidRPr="0080216D" w:rsidRDefault="0024138F" w:rsidP="0024138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7F92E2E6" w14:textId="77777777" w:rsidR="0024138F" w:rsidRPr="0080216D" w:rsidRDefault="0024138F" w:rsidP="0024138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1178A6A" w14:textId="77777777" w:rsidR="0024138F" w:rsidRPr="0080216D" w:rsidRDefault="0024138F" w:rsidP="0024138F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3F25DDE6" w14:textId="77777777" w:rsidR="0024138F" w:rsidRPr="0080216D" w:rsidRDefault="0024138F" w:rsidP="0024138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2ABE8EC8" w14:textId="77777777" w:rsidR="0024138F" w:rsidRPr="0080216D" w:rsidRDefault="0024138F" w:rsidP="0024138F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6B785A68" w14:textId="77777777" w:rsidR="0024138F" w:rsidRPr="0080216D" w:rsidRDefault="0024138F" w:rsidP="0024138F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03313A20" w14:textId="77777777" w:rsidR="0024138F" w:rsidRPr="0080216D" w:rsidRDefault="0024138F" w:rsidP="0024138F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128F984C" w14:textId="77777777" w:rsidR="0024138F" w:rsidRPr="0080216D" w:rsidRDefault="0024138F" w:rsidP="0024138F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29D257B5" w14:textId="77777777" w:rsidR="0024138F" w:rsidRPr="0080216D" w:rsidRDefault="0024138F" w:rsidP="0024138F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57B78CC" w14:textId="77777777" w:rsidR="0024138F" w:rsidRPr="0080216D" w:rsidRDefault="0024138F" w:rsidP="0024138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6CD5ECDE" w14:textId="77777777" w:rsidR="0024138F" w:rsidRPr="0080216D" w:rsidRDefault="0024138F" w:rsidP="0024138F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65ECFAC8" w14:textId="77777777" w:rsidR="0024138F" w:rsidRPr="0080216D" w:rsidRDefault="0024138F" w:rsidP="0024138F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4F5DA77E" w14:textId="77777777" w:rsidR="0024138F" w:rsidRPr="0080216D" w:rsidRDefault="0024138F" w:rsidP="0024138F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16E1AC25" w14:textId="77777777" w:rsidR="0024138F" w:rsidRPr="0024138F" w:rsidRDefault="0024138F">
      <w:pPr>
        <w:rPr>
          <w:lang w:val="kk-KZ"/>
        </w:rPr>
      </w:pPr>
    </w:p>
    <w:sectPr w:rsidR="0024138F" w:rsidRPr="0024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BD3"/>
    <w:multiLevelType w:val="multilevel"/>
    <w:tmpl w:val="E18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1"/>
  </w:num>
  <w:num w:numId="2" w16cid:durableId="114063853">
    <w:abstractNumId w:val="2"/>
  </w:num>
  <w:num w:numId="3" w16cid:durableId="1568300104">
    <w:abstractNumId w:val="3"/>
  </w:num>
  <w:num w:numId="4" w16cid:durableId="85507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60"/>
    <w:rsid w:val="001632AF"/>
    <w:rsid w:val="0024138F"/>
    <w:rsid w:val="00310446"/>
    <w:rsid w:val="003A3B86"/>
    <w:rsid w:val="003E6D87"/>
    <w:rsid w:val="004C4C60"/>
    <w:rsid w:val="00563641"/>
    <w:rsid w:val="006C779E"/>
    <w:rsid w:val="00A02E7F"/>
    <w:rsid w:val="00C81942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2A4D"/>
  <w15:chartTrackingRefBased/>
  <w15:docId w15:val="{B24AE6B3-A2CA-4DFA-AFB0-A622DB59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641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413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5</cp:revision>
  <dcterms:created xsi:type="dcterms:W3CDTF">2026-01-03T10:41:00Z</dcterms:created>
  <dcterms:modified xsi:type="dcterms:W3CDTF">2026-01-04T13:08:00Z</dcterms:modified>
</cp:coreProperties>
</file>